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47"/>
        <w:gridCol w:w="5046"/>
      </w:tblGrid>
      <w:tr>
        <w:tc>
          <w:tcPr>
            <w:tcW w:type="dxa" w:w="1247"/>
            <w:tcBorders>
              <w:top w:val="dashed" w:sz="6" w:color="B3ABB9"/>
              <w:left w:val="dashed" w:sz="6" w:color="B3ABB9"/>
              <w:bottom w:val="dashed" w:sz="6" w:color="B3ABB9"/>
              <w:right w:val="dashed" w:sz="6" w:color="B3ABB9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6"/>
                <w:rtl/>
                <w:szCs w:val="16"/>
              </w:rPr>
              <w:t>الشعار</w:t>
            </w:r>
          </w:p>
        </w:tc>
        <w:tc>
          <w:tcPr>
            <w:tcW w:type="dxa" w:w="8504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44D80"/>
                <w:sz w:val="30"/>
                <w:rtl/>
                <w:bCs/>
                <w:szCs w:val="30"/>
              </w:rPr>
              <w:t>اسم العيادة</w:t>
            </w:r>
          </w:p>
          <w:p>
            <w:pPr>
              <w:bidi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العنوان · الهاتف · رقم الترخيص</w:t>
            </w:r>
          </w:p>
        </w:tc>
      </w:tr>
    </w:tbl>
    <w:p>
      <w:pPr>
        <w:bidi/>
        <w:jc w:val="right"/>
        <w:pBdr>
          <w:bottom w:val="single" w:sz="12" w:color="044D80"/>
        </w:pBdr>
      </w:pPr>
    </w:p>
    <w:p>
      <w:pPr>
        <w:bidi/>
        <w:jc w:val="right"/>
      </w:pPr>
      <w:r>
        <w:rPr>
          <w:b/>
          <w:i w:val="0"/>
          <w:color w:val="044D80"/>
          <w:sz w:val="33"/>
          <w:rtl/>
          <w:bCs/>
          <w:szCs w:val="33"/>
        </w:rPr>
        <w:t>سجل علاج جذور الأسنان</w:t>
      </w:r>
    </w:p>
    <w:p>
      <w:pPr>
        <w:bidi/>
        <w:jc w:val="right"/>
      </w:pPr>
      <w:r>
        <w:rPr>
          <w:b w:val="0"/>
          <w:i w:val="0"/>
          <w:color w:val="5F6B75"/>
          <w:sz w:val="19"/>
          <w:rtl/>
          <w:szCs w:val="19"/>
        </w:rPr>
        <w:t>سجل لكل سن: الفحوص والتشخيص في الصفحة الأولى، والقنوات والزيارات والمتابعة في الثانية.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رقم الملف: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تاريخ الميلاد:</w:t>
            </w:r>
          </w:p>
        </w:tc>
      </w:tr>
      <w:tr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الهاتف: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التاريخ:</w:t>
            </w:r>
          </w:p>
        </w:tc>
        <w:tc>
          <w:tcPr>
            <w:tcW w:type="dxa" w:w="3364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الطبيب: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السن (FDI):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محوّل من: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مراجعة التاريخ الطبي بتاريخ: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تنبيهات طبية: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الشكوى وتاريخ الألم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92"/>
      </w:tblGrid>
      <w:tr>
        <w:tc>
          <w:tcPr>
            <w:tcW w:type="dxa" w:w="10092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بكلمات المريض: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364"/>
        <w:gridCol w:w="3364"/>
        <w:gridCol w:w="3364"/>
      </w:tblGrid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ألم تلقائي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يثيره البارد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يثيره الساخن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ألم عند العض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يستمر بعد زوال المؤثر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يوقظه ليلًا</w:t>
            </w:r>
          </w:p>
        </w:tc>
      </w:tr>
      <w:tr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تورم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علاج سابق للسن</w:t>
            </w:r>
          </w:p>
        </w:tc>
        <w:tc>
          <w:tcPr>
            <w:tcW w:type="dxa" w:w="3364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إصابة أو كسر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الفحوص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2268"/>
        <w:gridCol w:w="1814"/>
        <w:gridCol w:w="1814"/>
        <w:gridCol w:w="1814"/>
        <w:gridCol w:w="2381"/>
      </w:tblGrid>
      <w:tr>
        <w:trPr>
          <w:trHeight w:val="340" w:hRule="atLeast"/>
        </w:trPr>
        <w:tc>
          <w:tcPr>
            <w:tcW w:type="dxa" w:w="226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الاختبار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 المعني: …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 المجاور: …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السن المقابل للمقارنة: …</w:t>
            </w:r>
          </w:p>
        </w:tc>
        <w:tc>
          <w:tcPr>
            <w:tcW w:type="dxa" w:w="238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ملاحظات</w:t>
            </w: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البرودة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الحرارة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الاختبار الكهربائي (EPT)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القرع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الجس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الحركة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أعمق جيب (مم)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29" w:hRule="atLeast"/>
        </w:trPr>
        <w:tc>
          <w:tcPr>
            <w:tcW w:type="dxa" w:w="2268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تورم أو ناسور</w:t>
            </w: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38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اكتب + أو − أو ++ للاستجابة، أو القراءة للاختبار الكهربائي، ودرجة الحركة من 0 إلى 3.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الأشعة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النسيج حول الذروة: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الجذور والقنوات: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امتصاص أو كسر أو تكلس: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مرجع الأشعة المقطعية (CBCT):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التشخيص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5046"/>
        <w:gridCol w:w="5046"/>
      </w:tblGrid>
      <w:tr>
        <w:trPr>
          <w:trHeight w:val="340" w:hRule="atLeast"/>
        </w:trPr>
        <w:tc>
          <w:tcPr>
            <w:tcW w:type="dxa" w:w="5046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حالة اللب</w:t>
            </w:r>
          </w:p>
        </w:tc>
        <w:tc>
          <w:tcPr>
            <w:tcW w:type="dxa" w:w="5046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حول الذروة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لب سليم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أنسجة طبيعية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لب قابل للشفاء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ذروي مع أعراض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لب غير قابل للشفاء مع أعراض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ذروي دون أعراض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لب غير قابل للشفاء دون أعراض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خراج ذروي حاد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موت اللب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خراج ذروي مزمن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سن معالج سابقًا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التهاب عظم مكثف</w:t>
            </w:r>
          </w:p>
        </w:tc>
      </w:tr>
      <w:tr>
        <w:trPr>
          <w:trHeight w:val="329" w:hRule="atLeast"/>
        </w:trPr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☐ علاج بُدئ سابقًا</w:t>
            </w:r>
          </w:p>
        </w:tc>
        <w:tc>
          <w:tcPr>
            <w:tcW w:type="dxa" w:w="5046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العلاج المقترح   </w:t>
      </w:r>
      <w:r>
        <w:rPr>
          <w:b w:val="0"/>
          <w:i w:val="0"/>
          <w:rtl/>
        </w:rPr>
        <w:t>☐ بتر اللب    ☐ علاج جذور    ☐ إعادة علاج    ☐ تحويل    ☐ خلع</w:t>
      </w:r>
    </w:p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اسم المريض: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السن (FDI):</w:t>
            </w: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الموافقة موقعة بتاريخ: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شُرحت البدائل:</w:t>
            </w: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/>
          <w:i w:val="0"/>
          <w:rtl/>
          <w:bCs/>
        </w:rPr>
        <w:t xml:space="preserve">الإنذار   </w:t>
      </w:r>
      <w:r>
        <w:rPr>
          <w:b w:val="0"/>
          <w:i w:val="0"/>
          <w:rtl/>
        </w:rPr>
        <w:t>☐ جيد    ☐ غير مؤكد    ☐ ضعيف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القنوات وأطوال العمل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العزل   </w:t>
      </w:r>
      <w:r>
        <w:rPr>
          <w:b w:val="0"/>
          <w:i w:val="0"/>
          <w:rtl/>
        </w:rPr>
        <w:t>☐ حاجز مطاطي    ☐ أخرى: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020"/>
        <w:gridCol w:w="1474"/>
        <w:gridCol w:w="1360"/>
        <w:gridCol w:w="1360"/>
        <w:gridCol w:w="1814"/>
        <w:gridCol w:w="907"/>
        <w:gridCol w:w="2154"/>
      </w:tblGrid>
      <w:tr>
        <w:trPr>
          <w:trHeight w:val="340" w:hRule="atLeast"/>
        </w:trPr>
        <w:tc>
          <w:tcPr>
            <w:tcW w:type="dxa" w:w="1020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القناة</w:t>
            </w:r>
          </w:p>
        </w:tc>
        <w:tc>
          <w:tcPr>
            <w:tcW w:type="dxa" w:w="147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النقطة المرجعية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الطول التقديري (مم)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طول العمل (مم)</w:t>
            </w:r>
          </w:p>
        </w:tc>
        <w:tc>
          <w:tcPr>
            <w:tcW w:type="dxa" w:w="181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آخر مبرد ذروي ومقاسه</w:t>
            </w:r>
          </w:p>
        </w:tc>
        <w:tc>
          <w:tcPr>
            <w:tcW w:type="dxa" w:w="90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الاستدقاق</w:t>
            </w:r>
          </w:p>
        </w:tc>
        <w:tc>
          <w:tcPr>
            <w:tcW w:type="dxa" w:w="215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طريقة الحشو</w:t>
            </w: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020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47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81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90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15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  <w:r>
        <w:rPr>
          <w:b w:val="0"/>
          <w:i w:val="0"/>
          <w:color w:val="5F6B75"/>
          <w:sz w:val="17"/>
          <w:rtl/>
          <w:szCs w:val="17"/>
        </w:rPr>
        <w:t>القنوات مثلًا: MB وMB2 وDB وP في الرحى العلوية الأولى. طريقة تحديد الطول: جهاز قياس القمة أو الأشعة أو كلاهما.</w:t>
      </w: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الغسيل والدواء داخل القناة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المحاليل المستخدمة: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التنشيط:</w:t>
            </w:r>
          </w:p>
        </w:tc>
      </w:tr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الدواء داخل القناة: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الحشوة المؤقتة: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سجل الزيارات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134"/>
        <w:gridCol w:w="793"/>
        <w:gridCol w:w="2835"/>
        <w:gridCol w:w="1360"/>
        <w:gridCol w:w="1360"/>
        <w:gridCol w:w="1247"/>
        <w:gridCol w:w="1360"/>
      </w:tblGrid>
      <w:tr>
        <w:trPr>
          <w:trHeight w:val="340" w:hRule="atLeast"/>
        </w:trPr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التاريخ</w:t>
            </w:r>
          </w:p>
        </w:tc>
        <w:tc>
          <w:tcPr>
            <w:tcW w:type="dxa" w:w="79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الزيارة</w:t>
            </w:r>
          </w:p>
        </w:tc>
        <w:tc>
          <w:tcPr>
            <w:tcW w:type="dxa" w:w="2835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ما أُنجز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الغسيل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الدواء</w:t>
            </w:r>
          </w:p>
        </w:tc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المؤقت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الطبيب</w:t>
            </w: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1</w:t>
            </w:r>
          </w:p>
        </w:tc>
        <w:tc>
          <w:tcPr>
            <w:tcW w:type="dxa" w:w="283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2</w:t>
            </w:r>
          </w:p>
        </w:tc>
        <w:tc>
          <w:tcPr>
            <w:tcW w:type="dxa" w:w="283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794"/>
            <w:vAlign w:val="center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sz w:val="17"/>
                <w:rtl/>
                <w:szCs w:val="17"/>
              </w:rPr>
              <w:t>3</w:t>
            </w:r>
          </w:p>
        </w:tc>
        <w:tc>
          <w:tcPr>
            <w:tcW w:type="dxa" w:w="2835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247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قبل العلاج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طول العمل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القمع الرئيسي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>☐ أشعة بعد الحشو</w:t>
            </w:r>
          </w:p>
        </w:tc>
      </w:tr>
    </w:tbl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خطة الترميم</w:t>
      </w:r>
    </w:p>
    <w:p>
      <w:pPr>
        <w:bidi/>
        <w:jc w:val="right"/>
      </w:pPr>
      <w:r>
        <w:rPr>
          <w:b/>
          <w:i w:val="0"/>
          <w:rtl/>
          <w:bCs/>
        </w:rPr>
        <w:t xml:space="preserve">الترميم النهائي   </w:t>
      </w:r>
      <w:r>
        <w:rPr>
          <w:b w:val="0"/>
          <w:i w:val="0"/>
          <w:rtl/>
        </w:rPr>
        <w:t>☐ حشوة مباشرة    ☐ حشوة جزئية (أونلاي)    ☐ تاج    ☐ وتد ودعامة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خلال (أسابيع):</w:t>
            </w:r>
          </w:p>
        </w:tc>
        <w:tc>
          <w:tcPr>
            <w:tcW w:type="dxa" w:w="5046"/>
            <w:tcBorders>
              <w:bottom w:val="dotted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9"/>
                <w:rtl/>
                <w:szCs w:val="19"/>
              </w:rPr>
              <w:t>يُنفذه:</w:t>
            </w:r>
          </w:p>
        </w:tc>
      </w:tr>
    </w:tbl>
    <w:p>
      <w:pPr>
        <w:spacing w:after="0" w:line="100" w:lineRule="exact"/>
      </w:pPr>
    </w:p>
    <w:p>
      <w:pPr>
        <w:keepNext/>
        <w:bidi/>
        <w:spacing w:before="200"/>
        <w:jc w:val="right"/>
      </w:pPr>
      <w:r>
        <w:rPr>
          <w:b/>
          <w:i w:val="0"/>
          <w:color w:val="044D80"/>
          <w:sz w:val="24"/>
          <w:rtl/>
          <w:bCs/>
          <w:szCs w:val="24"/>
        </w:rPr>
        <w:t>المتابعة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bidiVisual/>
        <w:tblLayout w:type="fixed"/>
        <w:tblW w:w="10092" w:type="dxa"/>
        <w:tblBorders>
          <w:top w:val="single" w:sz="4" w:color="C6D2DC"/>
          <w:left w:val="single" w:sz="4" w:color="C6D2DC"/>
          <w:bottom w:val="single" w:sz="4" w:color="C6D2DC"/>
          <w:right w:val="single" w:sz="4" w:color="C6D2DC"/>
          <w:insideH w:val="single" w:sz="4" w:color="C6D2DC"/>
          <w:insideV w:val="single" w:sz="4" w:color="C6D2DC"/>
        </w:tblBorders>
        <w:tblCellMar>
          <w:left w:w="40" w:type="dxa"/>
          <w:right w:w="40" w:type="dxa"/>
          <w:top w:w="0" w:type="dxa"/>
          <w:bottom w:w="0" w:type="dxa"/>
        </w:tblCellMar>
      </w:tblPr>
      <w:tblGrid>
        <w:gridCol w:w="1247"/>
        <w:gridCol w:w="1360"/>
        <w:gridCol w:w="1701"/>
        <w:gridCol w:w="1701"/>
        <w:gridCol w:w="2948"/>
        <w:gridCol w:w="1134"/>
      </w:tblGrid>
      <w:tr>
        <w:trPr>
          <w:trHeight w:val="340" w:hRule="atLeast"/>
        </w:trPr>
        <w:tc>
          <w:tcPr>
            <w:tcW w:type="dxa" w:w="1247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الموعد</w:t>
            </w:r>
          </w:p>
        </w:tc>
        <w:tc>
          <w:tcPr>
            <w:tcW w:type="dxa" w:w="136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تاريخ الزيارة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الأعراض</w:t>
            </w:r>
          </w:p>
        </w:tc>
        <w:tc>
          <w:tcPr>
            <w:tcW w:type="dxa" w:w="1701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الفحص السريري</w:t>
            </w:r>
          </w:p>
        </w:tc>
        <w:tc>
          <w:tcPr>
            <w:tcW w:type="dxa" w:w="2948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الأشعة: شُفي، يلتئم، لم يُشف</w:t>
            </w:r>
          </w:p>
        </w:tc>
        <w:tc>
          <w:tcPr>
            <w:tcW w:type="dxa" w:w="1134"/>
            <w:vAlign w:val="center"/>
            <w:shd w:val="clear" w:color="auto" w:fill="044D80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/>
                <w:i w:val="0"/>
                <w:color w:val="FFFFFF"/>
                <w:sz w:val="17"/>
                <w:rtl/>
                <w:bCs/>
                <w:szCs w:val="17"/>
              </w:rPr>
              <w:t>التالي</w:t>
            </w: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6 أشهر</w:t>
            </w: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94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12 شهرًا</w:t>
            </w: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94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سنتان</w:t>
            </w: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94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  <w:tr>
        <w:trPr>
          <w:trHeight w:val="397" w:hRule="atLeast"/>
        </w:trPr>
        <w:tc>
          <w:tcPr>
            <w:tcW w:type="dxa" w:w="1247"/>
            <w:vAlign w:val="center"/>
            <w:shd w:val="clear" w:color="auto" w:fill="F5F8FA"/>
          </w:tcPr>
          <w:p>
            <w:pPr>
              <w:bidi/>
              <w:spacing w:after="0" w:before="0" w:line="240" w:lineRule="auto"/>
              <w:jc w:val="right"/>
            </w:pPr>
            <w:r>
              <w:rPr>
                <w:b w:val="0"/>
                <w:i w:val="0"/>
                <w:color w:val="5F6B75"/>
                <w:sz w:val="17"/>
                <w:rtl/>
                <w:szCs w:val="17"/>
              </w:rPr>
              <w:t>4 سنوات</w:t>
            </w:r>
          </w:p>
        </w:tc>
        <w:tc>
          <w:tcPr>
            <w:tcW w:type="dxa" w:w="136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701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2948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  <w:tc>
          <w:tcPr>
            <w:tcW w:type="dxa" w:w="1134"/>
            <w:vAlign w:val="center"/>
          </w:tcPr>
          <w:p>
            <w:pPr>
              <w:bidi/>
              <w:spacing w:after="0" w:before="0" w:line="240" w:lineRule="auto"/>
              <w:jc w:val="right"/>
            </w:pPr>
          </w:p>
        </w:tc>
      </w:tr>
    </w:tbl>
    <w:p>
      <w:pPr>
        <w:spacing w:after="0" w:line="100" w:lineRule="exact"/>
      </w:pPr>
    </w:p>
    <w:p>
      <w:pPr>
        <w:bidi/>
        <w:jc w:val="right"/>
      </w:pPr>
    </w:p>
    <w:tbl>
      <w:tblPr>
        <w:tblW w:type="auto" w:w="0"/>
        <w:jc w:val="center"/>
        <w:tblLook w:firstColumn="1" w:firstRow="1" w:lastColumn="0" w:lastRow="0" w:noHBand="0" w:noVBand="1" w:val="04A0"/>
        <w:bidiVisual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6"/>
        <w:gridCol w:w="5046"/>
      </w:tblGrid>
      <w:tr>
        <w:trPr>
          <w:trHeight w:val="680"/>
        </w:trPr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  <w:tc>
          <w:tcPr>
            <w:tcW w:type="dxa" w:w="5046"/>
            <w:tcBorders>
              <w:bottom w:val="single" w:sz="6" w:color="7F8B94"/>
            </w:tcBorders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rtl/>
              </w:rPr>
              <w:t xml:space="preserve"> </w:t>
            </w:r>
          </w:p>
        </w:tc>
      </w:tr>
      <w:tr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اسم الطبيب وتوقيعه</w:t>
            </w:r>
          </w:p>
        </w:tc>
        <w:tc>
          <w:tcPr>
            <w:tcW w:type="dxa" w:w="5046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color w:val="5F6B75"/>
                <w:sz w:val="18"/>
                <w:rtl/>
                <w:szCs w:val="18"/>
              </w:rPr>
              <w:t>التاريخ</w:t>
            </w:r>
          </w:p>
        </w:tc>
      </w:tr>
    </w:tbl>
    <w:p>
      <w:pPr>
        <w:bidi/>
        <w:spacing w:before="240"/>
        <w:jc w:val="right"/>
      </w:pPr>
      <w:r>
        <w:rPr>
          <w:b w:val="0"/>
          <w:i w:val="0"/>
          <w:color w:val="5F6B75"/>
          <w:sz w:val="16"/>
          <w:rtl/>
          <w:szCs w:val="16"/>
        </w:rPr>
        <w:t xml:space="preserve">في دينتولايز يُحفظ هذا المستند على ملف المريض: </w:t>
      </w:r>
      <w:hyperlink r:id="rId9">
        <w:r>
          <w:rPr>
            <w:color w:val="044D80"/>
            <w:u w:val="single"/>
            <w:sz w:val="16"/>
          </w:rPr>
          <w:t>dentolize.com</w:t>
        </w:r>
      </w:hyperlink>
    </w:p>
    <w:sectPr w:rsidR="00FC693F" w:rsidRPr="0006063C" w:rsidSect="00034616">
      <w:footerReference w:type="default" r:id="rId10"/>
      <w:pgSz w:w="11906" w:h="16838"/>
      <w:pgMar w:top="794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b w:val="0"/>
        <w:i w:val="0"/>
        <w:color w:val="5F6B75"/>
        <w:sz w:val="15"/>
        <w:rtl/>
        <w:szCs w:val="15"/>
      </w:rPr>
      <w:t xml:space="preserve">نموذج من دينتولايز   ·   </w:t>
    </w: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cs="Arial" w:eastAsia="Arial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entolize.com/ar/demo/?utm_source=template&amp;utm_medium=download&amp;utm_content=root-canal-treatment-record" TargetMode="Externa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root-canal-treatment-record</dc:title>
  <dc:subject/>
  <dc:creator>Dentolize</dc:creator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